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D8B2" w14:textId="63133583" w:rsidR="00BC6F9C" w:rsidRPr="00BC6F9C" w:rsidRDefault="00BC6F9C" w:rsidP="00BC6F9C">
      <w:pPr>
        <w:jc w:val="center"/>
        <w:rPr>
          <w:b/>
          <w:sz w:val="24"/>
          <w:szCs w:val="24"/>
          <w:lang w:val="hr-HR"/>
        </w:rPr>
      </w:pPr>
      <w:r w:rsidRPr="00BC6F9C">
        <w:rPr>
          <w:b/>
          <w:sz w:val="24"/>
          <w:szCs w:val="24"/>
          <w:lang w:val="hr-HR"/>
        </w:rPr>
        <w:t>OBRAZLOŽENJE</w:t>
      </w:r>
    </w:p>
    <w:p w14:paraId="24DF41C8" w14:textId="3CA8AD58" w:rsidR="00BC6F9C" w:rsidRPr="00BC6F9C" w:rsidRDefault="00BC6F9C" w:rsidP="00BC6F9C">
      <w:pPr>
        <w:ind w:firstLine="708"/>
        <w:jc w:val="both"/>
        <w:rPr>
          <w:bCs/>
          <w:sz w:val="24"/>
          <w:szCs w:val="24"/>
          <w:lang w:val="hr-HR"/>
        </w:rPr>
      </w:pPr>
      <w:r w:rsidRPr="00BC6F9C">
        <w:rPr>
          <w:bCs/>
          <w:sz w:val="24"/>
          <w:szCs w:val="24"/>
          <w:lang w:val="hr-HR"/>
        </w:rPr>
        <w:t>Plan upravljanja turističkom destinacijom ( u daljnjem testu: Plan), dokument je koji se izrađuje kako bi se osigurao održivi razvoj destinacije. Svrha ovog dokumenta, koji ima elemente strateškog, planskog i akcijskog je sustavno, planski i dugoročno usmjeriti turistički razvoj neke destinacije na način da se osiguraju tri najvažnija uvjeta održivosti:</w:t>
      </w:r>
    </w:p>
    <w:p w14:paraId="23EB5379" w14:textId="77777777" w:rsidR="00BC6F9C" w:rsidRPr="00BC6F9C" w:rsidRDefault="00BC6F9C" w:rsidP="00BC6F9C">
      <w:pPr>
        <w:jc w:val="both"/>
        <w:rPr>
          <w:bCs/>
          <w:sz w:val="24"/>
          <w:szCs w:val="24"/>
          <w:lang w:val="hr-HR"/>
        </w:rPr>
      </w:pPr>
    </w:p>
    <w:p w14:paraId="15EE1D2E" w14:textId="77777777" w:rsidR="00BC6F9C" w:rsidRPr="00BC6F9C" w:rsidRDefault="00BC6F9C" w:rsidP="00BC6F9C">
      <w:pPr>
        <w:jc w:val="both"/>
        <w:rPr>
          <w:bCs/>
          <w:sz w:val="24"/>
          <w:szCs w:val="24"/>
          <w:lang w:val="hr-HR"/>
        </w:rPr>
      </w:pPr>
      <w:r w:rsidRPr="00BC6F9C">
        <w:rPr>
          <w:bCs/>
          <w:sz w:val="24"/>
          <w:szCs w:val="24"/>
          <w:lang w:val="hr-HR"/>
        </w:rPr>
        <w:t>•</w:t>
      </w:r>
      <w:r w:rsidRPr="00BC6F9C">
        <w:rPr>
          <w:bCs/>
          <w:sz w:val="24"/>
          <w:szCs w:val="24"/>
          <w:lang w:val="hr-HR"/>
        </w:rPr>
        <w:tab/>
        <w:t>osiguravanja održivog razvoja uz postizanje ravnoteže između ekonomskog rasta, očuvanja prirodnih i kulturnih vrijednosti te kvalitete života lokalnog stanovništva,</w:t>
      </w:r>
    </w:p>
    <w:p w14:paraId="6AE2277A" w14:textId="77777777" w:rsidR="00BC6F9C" w:rsidRPr="00BC6F9C" w:rsidRDefault="00BC6F9C" w:rsidP="00BC6F9C">
      <w:pPr>
        <w:jc w:val="both"/>
        <w:rPr>
          <w:bCs/>
          <w:sz w:val="24"/>
          <w:szCs w:val="24"/>
          <w:lang w:val="hr-HR"/>
        </w:rPr>
      </w:pPr>
      <w:r w:rsidRPr="00BC6F9C">
        <w:rPr>
          <w:bCs/>
          <w:sz w:val="24"/>
          <w:szCs w:val="24"/>
          <w:lang w:val="hr-HR"/>
        </w:rPr>
        <w:t>•</w:t>
      </w:r>
      <w:r w:rsidRPr="00BC6F9C">
        <w:rPr>
          <w:bCs/>
          <w:sz w:val="24"/>
          <w:szCs w:val="24"/>
          <w:lang w:val="hr-HR"/>
        </w:rPr>
        <w:tab/>
        <w:t>definiranje jasnih ciljeva i mjera za razvoj turističke ponude,</w:t>
      </w:r>
    </w:p>
    <w:p w14:paraId="01117540" w14:textId="77777777" w:rsidR="00BC6F9C" w:rsidRPr="00BC6F9C" w:rsidRDefault="00BC6F9C" w:rsidP="00BC6F9C">
      <w:pPr>
        <w:jc w:val="both"/>
        <w:rPr>
          <w:bCs/>
          <w:sz w:val="24"/>
          <w:szCs w:val="24"/>
          <w:lang w:val="hr-HR"/>
        </w:rPr>
      </w:pPr>
      <w:r w:rsidRPr="00BC6F9C">
        <w:rPr>
          <w:bCs/>
          <w:sz w:val="24"/>
          <w:szCs w:val="24"/>
          <w:lang w:val="hr-HR"/>
        </w:rPr>
        <w:t>•</w:t>
      </w:r>
      <w:r w:rsidRPr="00BC6F9C">
        <w:rPr>
          <w:bCs/>
          <w:sz w:val="24"/>
          <w:szCs w:val="24"/>
          <w:lang w:val="hr-HR"/>
        </w:rPr>
        <w:tab/>
        <w:t>poticanja suradnje svih ključnih dionika destinacije u razvoju turizma.</w:t>
      </w:r>
    </w:p>
    <w:p w14:paraId="15CBCA88" w14:textId="77777777" w:rsidR="00BC6F9C" w:rsidRPr="00BC6F9C" w:rsidRDefault="00BC6F9C" w:rsidP="00BC6F9C">
      <w:pPr>
        <w:jc w:val="both"/>
        <w:rPr>
          <w:bCs/>
          <w:sz w:val="24"/>
          <w:szCs w:val="24"/>
          <w:lang w:val="hr-HR"/>
        </w:rPr>
      </w:pPr>
    </w:p>
    <w:p w14:paraId="46257250" w14:textId="77777777" w:rsidR="00BC6F9C" w:rsidRPr="00BC6F9C" w:rsidRDefault="00BC6F9C" w:rsidP="00BC6F9C">
      <w:pPr>
        <w:ind w:firstLine="720"/>
        <w:jc w:val="both"/>
        <w:rPr>
          <w:bCs/>
          <w:sz w:val="24"/>
          <w:szCs w:val="24"/>
          <w:lang w:val="hr-HR"/>
        </w:rPr>
      </w:pPr>
      <w:r w:rsidRPr="00BC6F9C">
        <w:rPr>
          <w:bCs/>
          <w:sz w:val="24"/>
          <w:szCs w:val="24"/>
          <w:lang w:val="hr-HR"/>
        </w:rPr>
        <w:t>Pravni temelj za izradu dokumenta plana upravljanja destinacijom daje se u odredbama Zakona o turizmu (NN 156/2023) odnosno članaka 25., 26. i 27. tog Zakona.</w:t>
      </w:r>
    </w:p>
    <w:p w14:paraId="259F412A" w14:textId="77777777" w:rsidR="00BC6F9C" w:rsidRPr="00BC6F9C" w:rsidRDefault="00BC6F9C" w:rsidP="00BC6F9C">
      <w:pPr>
        <w:ind w:firstLine="720"/>
        <w:jc w:val="both"/>
        <w:rPr>
          <w:bCs/>
          <w:sz w:val="24"/>
          <w:szCs w:val="24"/>
          <w:lang w:val="hr-HR"/>
        </w:rPr>
      </w:pPr>
      <w:r w:rsidRPr="00BC6F9C">
        <w:rPr>
          <w:bCs/>
          <w:sz w:val="24"/>
          <w:szCs w:val="24"/>
          <w:lang w:val="hr-HR"/>
        </w:rPr>
        <w:t>Osim Zakona o turizmu, pravni okvir donošenja Plana čine i akti strateškog planiranja na nacionalnoj, regionalnoj te lokalnim razinama, prostorni planovi jedinica lokalne samouprave te, ukoliko postoje, drugi planovi upravljanja (primjerice kulturnim dobrima) te ostali važeći planovi i propisi.</w:t>
      </w:r>
    </w:p>
    <w:p w14:paraId="6993BF2C" w14:textId="77777777" w:rsidR="00BC6F9C" w:rsidRPr="00BC6F9C" w:rsidRDefault="00BC6F9C" w:rsidP="00BC6F9C">
      <w:pPr>
        <w:ind w:firstLine="720"/>
        <w:jc w:val="both"/>
        <w:rPr>
          <w:bCs/>
          <w:sz w:val="24"/>
          <w:szCs w:val="24"/>
          <w:lang w:val="hr-HR"/>
        </w:rPr>
      </w:pPr>
      <w:r w:rsidRPr="00BC6F9C">
        <w:rPr>
          <w:bCs/>
          <w:sz w:val="24"/>
          <w:szCs w:val="24"/>
          <w:lang w:val="hr-HR"/>
        </w:rPr>
        <w:t>Prema važećim propisima, Plan izrađuje turistička zajednica za područje jedne ili više lokalnih ili regionalnih turističkih zajednica. Na lokalnoj razini, kao što je to slučaj u ovom dokumentu, Plan izrađuje Turistička zajednica Grada Velike Gorice.</w:t>
      </w:r>
    </w:p>
    <w:p w14:paraId="6419EFCC" w14:textId="77777777" w:rsidR="00BC6F9C" w:rsidRPr="00BC6F9C" w:rsidRDefault="00BC6F9C" w:rsidP="00BC6F9C">
      <w:pPr>
        <w:ind w:firstLine="720"/>
        <w:jc w:val="both"/>
        <w:rPr>
          <w:bCs/>
          <w:sz w:val="24"/>
          <w:szCs w:val="24"/>
          <w:lang w:val="hr-HR"/>
        </w:rPr>
      </w:pPr>
      <w:r w:rsidRPr="00BC6F9C">
        <w:rPr>
          <w:bCs/>
          <w:sz w:val="24"/>
          <w:szCs w:val="24"/>
          <w:lang w:val="hr-HR"/>
        </w:rPr>
        <w:t xml:space="preserve">Grad Velika Gorica kao jedinica lokalne samouprave na čijem je području osnovana Turistička zajednica, sudjeluje u procesu izrade i provedbe Plana na način da pruža potrebne podatke, sudjeluje u konzultacijama i javnim raspravama, usvaja Plan  na predstavničkom tijelu grada te podržava provedbu predviđenih aktivnosti. </w:t>
      </w:r>
    </w:p>
    <w:p w14:paraId="521145C4" w14:textId="0F387735" w:rsidR="00BC6F9C" w:rsidRPr="00BC6F9C" w:rsidRDefault="00BC6F9C" w:rsidP="00BC6F9C">
      <w:pPr>
        <w:ind w:firstLine="720"/>
        <w:jc w:val="both"/>
        <w:rPr>
          <w:bCs/>
          <w:sz w:val="24"/>
          <w:szCs w:val="24"/>
          <w:lang w:val="hr-HR"/>
        </w:rPr>
      </w:pPr>
      <w:r w:rsidRPr="00BC6F9C">
        <w:rPr>
          <w:bCs/>
          <w:sz w:val="24"/>
          <w:szCs w:val="24"/>
          <w:lang w:val="hr-HR"/>
        </w:rPr>
        <w:t>Plan se izrađuje i donosi za razdoblje od četiri godine.</w:t>
      </w:r>
    </w:p>
    <w:p w14:paraId="0441EAF9" w14:textId="3CF874BD" w:rsidR="00BC6F9C" w:rsidRPr="00BC6F9C" w:rsidRDefault="00BC6F9C" w:rsidP="00BC6F9C">
      <w:pPr>
        <w:ind w:firstLine="720"/>
        <w:jc w:val="both"/>
        <w:rPr>
          <w:bCs/>
          <w:sz w:val="24"/>
          <w:szCs w:val="24"/>
          <w:lang w:val="hr-HR"/>
        </w:rPr>
      </w:pPr>
      <w:r w:rsidRPr="00BC6F9C">
        <w:rPr>
          <w:bCs/>
          <w:sz w:val="24"/>
          <w:szCs w:val="24"/>
          <w:lang w:val="hr-HR"/>
        </w:rPr>
        <w:t>Prijedlog Plana biti će na savjetovanju 15 dana zbog unaprijed predviđenog termina posljednje sjednice Gradskog vijeća Grada Velike Gorice u ovoj godini.</w:t>
      </w:r>
    </w:p>
    <w:p w14:paraId="1CD0B8F9" w14:textId="6FE00734" w:rsidR="00BC6F9C" w:rsidRPr="00BC6F9C" w:rsidRDefault="00BC6F9C" w:rsidP="00BC6F9C">
      <w:pPr>
        <w:spacing w:after="200" w:line="276" w:lineRule="auto"/>
        <w:ind w:firstLine="708"/>
        <w:rPr>
          <w:rFonts w:eastAsia="Calibri"/>
          <w:sz w:val="24"/>
          <w:szCs w:val="24"/>
          <w:lang w:val="hr-HR" w:eastAsia="en-US"/>
        </w:rPr>
      </w:pPr>
      <w:r w:rsidRPr="00BC6F9C">
        <w:rPr>
          <w:rFonts w:eastAsia="Calibri"/>
          <w:sz w:val="24"/>
          <w:szCs w:val="24"/>
          <w:lang w:val="hr-HR" w:eastAsia="en-US"/>
        </w:rPr>
        <w:t>Prijedlog Plana</w:t>
      </w:r>
      <w:r w:rsidRPr="00BC6F9C">
        <w:rPr>
          <w:rFonts w:eastAsia="Calibri"/>
          <w:sz w:val="24"/>
          <w:szCs w:val="24"/>
          <w:lang w:val="hr-HR" w:eastAsia="en-US"/>
        </w:rPr>
        <w:t xml:space="preserve"> upućuje se na javno savjetovanje radi prikupljanja mišljenja zainteresirane javnosti</w:t>
      </w:r>
      <w:r w:rsidRPr="00BC6F9C">
        <w:rPr>
          <w:rFonts w:eastAsia="Calibri"/>
          <w:sz w:val="24"/>
          <w:szCs w:val="24"/>
          <w:lang w:val="hr-HR" w:eastAsia="en-US"/>
        </w:rPr>
        <w:t xml:space="preserve">. </w:t>
      </w:r>
      <w:r w:rsidRPr="00BC6F9C">
        <w:rPr>
          <w:rFonts w:eastAsia="Calibri"/>
          <w:sz w:val="24"/>
          <w:szCs w:val="24"/>
          <w:lang w:val="hr-HR" w:eastAsia="en-US"/>
        </w:rPr>
        <w:t>Po dovršetku savjetovanja izradit će se izvješće s pregledom pristiglih očitovanja i obrazloženjem prihvaćenih/neprihvaćenih prijedloga, a tekst će se, prema potrebi, doraditi prije upućivanja na donošenje Gradskom vijeću.</w:t>
      </w:r>
    </w:p>
    <w:p w14:paraId="0736B6E0" w14:textId="77777777" w:rsidR="008A4B84" w:rsidRPr="00BC6F9C" w:rsidRDefault="008A4B84">
      <w:pPr>
        <w:rPr>
          <w:sz w:val="24"/>
          <w:szCs w:val="24"/>
        </w:rPr>
      </w:pPr>
    </w:p>
    <w:sectPr w:rsidR="008A4B84" w:rsidRPr="00BC6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9C"/>
    <w:rsid w:val="008A4B84"/>
    <w:rsid w:val="00BC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0A66"/>
  <w15:chartTrackingRefBased/>
  <w15:docId w15:val="{E40A144F-5818-4BB1-8A66-627DD21B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2025-10-22T11:13:00Z</dcterms:created>
  <dcterms:modified xsi:type="dcterms:W3CDTF">2025-10-22T11:16:00Z</dcterms:modified>
</cp:coreProperties>
</file>